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900"/>
      </w:pPr>
    </w:p>
    <w:p>
      <w:pPr>
        <w:jc w:val="center"/>
      </w:pPr>
      <w:r>
        <w:rPr>
          <w:rFonts w:ascii="Georgia" w:cs="Georgia" w:eastAsia="Georgia" w:hAnsi="Georgia"/>
          <w:b/>
          <w:bCs/>
          <w:color w:val="B8892B"/>
          <w:sz w:val="26"/>
          <w:szCs w:val="26"/>
        </w:rPr>
        <w:t xml:space="preserve">A GUIDE FOR</w:t>
      </w:r>
    </w:p>
    <w:p>
      <w:pPr>
        <w:spacing w:after="60" w:before="120"/>
        <w:jc w:val="center"/>
      </w:pPr>
      <w:r>
        <w:rPr>
          <w:rFonts w:ascii="Georgia" w:cs="Georgia" w:eastAsia="Georgia" w:hAnsi="Georgia"/>
          <w:b/>
          <w:bCs/>
          <w:color w:val="1F3A5F"/>
          <w:sz w:val="52"/>
          <w:szCs w:val="52"/>
        </w:rPr>
        <w:t xml:space="preserve">First-Time &amp; New Home Buyers</w:t>
      </w:r>
    </w:p>
    <w:p>
      <w:pPr>
        <w:spacing w:after="500"/>
        <w:jc w:val="center"/>
      </w:pPr>
      <w:r>
        <w:rPr>
          <w:rFonts w:ascii="Georgia" w:cs="Georgia" w:eastAsia="Georgia" w:hAnsi="Georgia"/>
          <w:i/>
          <w:iCs/>
          <w:color w:val="232323"/>
          <w:sz w:val="26"/>
          <w:szCs w:val="26"/>
        </w:rPr>
        <w:t xml:space="preserve">Your Home-Buying Journey, Step by Step</w:t>
      </w:r>
    </w:p>
    <w:p>
      <w:pPr>
        <w:pBdr>
          <w:top w:val="single" w:color="B8892B" w:sz="8" w:space="1"/>
        </w:pBdr>
        <w:spacing w:after="500"/>
      </w:pPr>
    </w:p>
    <w:p>
      <w:pPr>
        <w:spacing w:after="40"/>
        <w:jc w:val="center"/>
      </w:pPr>
      <w:r>
        <w:rPr>
          <w:rFonts w:ascii="Calibri" w:cs="Calibri" w:eastAsia="Calibri" w:hAnsi="Calibri"/>
          <w:color w:val="5B6470"/>
          <w:sz w:val="20"/>
          <w:szCs w:val="20"/>
        </w:rPr>
        <w:t xml:space="preserve">Prepared by</w:t>
      </w:r>
    </w:p>
    <w:p>
      <w:pPr>
        <w:spacing w:after="20"/>
        <w:jc w:val="center"/>
      </w:pPr>
      <w:r>
        <w:rPr>
          <w:rFonts w:ascii="Georgia" w:cs="Georgia" w:eastAsia="Georgia" w:hAnsi="Georgia"/>
          <w:b/>
          <w:bCs/>
          <w:color w:val="1F3A5F"/>
          <w:sz w:val="28"/>
          <w:szCs w:val="28"/>
        </w:rPr>
        <w:t xml:space="preserve">Lyndzi Brawley</w:t>
      </w:r>
    </w:p>
    <w:p>
      <w:pPr>
        <w:jc w:val="center"/>
      </w:pPr>
      <w:r>
        <w:rPr>
          <w:rFonts w:ascii="Calibri" w:cs="Calibri" w:eastAsia="Calibri" w:hAnsi="Calibri"/>
          <w:color w:val="232323"/>
          <w:sz w:val="20"/>
          <w:szCs w:val="20"/>
        </w:rPr>
        <w:t xml:space="preserve">Realtor — SEI Real Estate</w:t>
      </w:r>
    </w:p>
    <w:p>
      <w:r>
        <w:br w:type="page"/>
      </w:r>
    </w:p>
    <w:p>
      <w:pPr>
        <w:pStyle w:val="Heading1"/>
        <w:spacing w:after="160" w:before="200"/>
      </w:pPr>
      <w:r>
        <w:rPr>
          <w:rFonts w:ascii="Georgia" w:cs="Georgia" w:eastAsia="Georgia" w:hAnsi="Georgia"/>
          <w:b/>
          <w:bCs/>
          <w:color w:val="1F3A5F"/>
          <w:sz w:val="36"/>
          <w:szCs w:val="36"/>
        </w:rPr>
        <w:t xml:space="preserve">Welcome!</w:t>
      </w:r>
    </w:p>
    <w:p>
      <w:pPr>
        <w:pBdr>
          <w:bottom w:val="single" w:color="B8892B" w:sz="12" w:space="1"/>
        </w:pBdr>
        <w:spacing w:after="240"/>
      </w:pPr>
    </w:p>
    <w:p>
      <w:pPr>
        <w:spacing w:after="160"/>
        <w:jc w:val="left"/>
      </w:pPr>
      <w:r>
        <w:rPr>
          <w:rFonts w:ascii="Calibri" w:cs="Calibri" w:eastAsia="Calibri" w:hAnsi="Calibri"/>
          <w:color w:val="232323"/>
          <w:sz w:val="22"/>
          <w:szCs w:val="22"/>
        </w:rPr>
        <w:t xml:space="preserve">Buying a home is one of the biggest decisions you'll make — and it's normal for the process to feel unfamiliar, especially the first time around. This guide breaks it down into simple steps so you always know what's happening and what comes next.</w:t>
      </w:r>
    </w:p>
    <w:p>
      <w:pPr>
        <w:spacing w:after="160"/>
        <w:jc w:val="left"/>
      </w:pPr>
      <w:r>
        <w:rPr>
          <w:rFonts w:ascii="Calibri" w:cs="Calibri" w:eastAsia="Calibri" w:hAnsi="Calibri"/>
          <w:color w:val="232323"/>
          <w:sz w:val="22"/>
          <w:szCs w:val="22"/>
        </w:rPr>
        <w:t xml:space="preserve">Every transaction is a little different, and I'll be with you at every step to answer questions and handle the details. But here's the big picture of how a typical home purchase unfolds, from your first conversation with a lender to picking up your keys.</w:t>
      </w:r>
    </w:p>
    <w:p>
      <w:pPr>
        <w:spacing w:before="100"/>
      </w:pPr>
    </w:p>
    <w:p>
      <w:pPr>
        <w:pStyle w:val="Heading1"/>
        <w:spacing w:after="160" w:before="200"/>
      </w:pPr>
      <w:r>
        <w:rPr>
          <w:rFonts w:ascii="Georgia" w:cs="Georgia" w:eastAsia="Georgia" w:hAnsi="Georgia"/>
          <w:b/>
          <w:bCs/>
          <w:color w:val="1F3A5F"/>
          <w:sz w:val="36"/>
          <w:szCs w:val="36"/>
        </w:rPr>
        <w:t xml:space="preserve">The 9 Steps to Closing</w:t>
      </w:r>
    </w:p>
    <w:p>
      <w:pPr>
        <w:pBdr>
          <w:bottom w:val="single" w:color="B8892B" w:sz="12" w:space="1"/>
        </w:pBdr>
        <w:spacing w:after="24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00"/>
      </w:tblGrid>
      <w:tr>
        <w:tc>
          <w:tcPr>
            <w:tcW w:type="dxa" w:w="900"/>
            <w:shd w:fill="1F3A5F" w:val="clear"/>
            <w:tcMar>
              <w:top w:type="dxa" w:w="160"/>
              <w:left w:type="dxa" w:w="100"/>
              <w:bottom w:type="dxa" w:w="160"/>
              <w:right w:type="dxa" w:w="100"/>
            </w:tcMar>
            <w:vAlign w:val="center"/>
          </w:tcPr>
          <w:p>
            <w:pPr>
              <w:jc w:val="center"/>
            </w:pPr>
            <w:r>
              <w:rPr>
                <w:rFonts w:ascii="Georgia" w:cs="Georgia" w:eastAsia="Georgia" w:hAnsi="Georgia"/>
                <w:b/>
                <w:bCs/>
                <w:color w:val="FFFFFF"/>
                <w:sz w:val="30"/>
                <w:szCs w:val="30"/>
              </w:rPr>
              <w:t xml:space="preserve">1</w:t>
            </w:r>
          </w:p>
        </w:tc>
        <w:tc>
          <w:tcPr>
            <w:tcW w:type="dxa" w:w="8100"/>
            <w:shd w:fill="EEF1F5" w:val="clear"/>
            <w:tcMar>
              <w:top w:type="dxa" w:w="160"/>
              <w:left w:type="dxa" w:w="200"/>
              <w:bottom w:type="dxa" w:w="160"/>
              <w:right w:type="dxa" w:w="200"/>
            </w:tcMar>
          </w:tcPr>
          <w:p>
            <w:pPr>
              <w:spacing w:after="80"/>
            </w:pPr>
            <w:r>
              <w:rPr>
                <w:rFonts w:ascii="Georgia" w:cs="Georgia" w:eastAsia="Georgia" w:hAnsi="Georgia"/>
                <w:b/>
                <w:bCs/>
                <w:color w:val="1F3A5F"/>
                <w:sz w:val="26"/>
                <w:szCs w:val="26"/>
              </w:rPr>
              <w:t xml:space="preserve">Get Pre-Approved for a Mortgage</w:t>
            </w:r>
          </w:p>
          <w:p>
            <w:pPr>
              <w:spacing w:after="100"/>
            </w:pPr>
            <w:r>
              <w:rPr>
                <w:rFonts w:ascii="Calibri" w:cs="Calibri" w:eastAsia="Calibri" w:hAnsi="Calibri"/>
                <w:color w:val="232323"/>
                <w:sz w:val="21"/>
                <w:szCs w:val="21"/>
              </w:rPr>
              <w:t xml:space="preserve">Before you start touring homes, talk to a lender about how much you can borrow. They'll review your income, credit, and debts and issue a pre-approval letter.</w:t>
            </w:r>
          </w:p>
          <w:p>
            <w:r>
              <w:rPr>
                <w:rFonts w:ascii="Calibri" w:cs="Calibri" w:eastAsia="Calibri" w:hAnsi="Calibri"/>
                <w:b/>
                <w:bCs/>
                <w:i/>
                <w:iCs/>
                <w:color w:val="B8892B"/>
                <w:sz w:val="20"/>
                <w:szCs w:val="20"/>
              </w:rPr>
              <w:t xml:space="preserve">Tip: </w:t>
            </w:r>
            <w:r>
              <w:rPr>
                <w:rFonts w:ascii="Calibri" w:cs="Calibri" w:eastAsia="Calibri" w:hAnsi="Calibri"/>
                <w:i/>
                <w:iCs/>
                <w:color w:val="5B6470"/>
                <w:sz w:val="20"/>
                <w:szCs w:val="20"/>
              </w:rPr>
              <w:t xml:space="preserve">A pre-approval isn't just paperwork — sellers take offers far more seriously when one is attached.</w:t>
            </w:r>
          </w:p>
        </w:tc>
      </w:tr>
    </w:tbl>
    <w:p>
      <w:pPr>
        <w:spacing w:after="22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00"/>
      </w:tblGrid>
      <w:tr>
        <w:tc>
          <w:tcPr>
            <w:tcW w:type="dxa" w:w="900"/>
            <w:shd w:fill="1F3A5F" w:val="clear"/>
            <w:tcMar>
              <w:top w:type="dxa" w:w="160"/>
              <w:left w:type="dxa" w:w="100"/>
              <w:bottom w:type="dxa" w:w="160"/>
              <w:right w:type="dxa" w:w="100"/>
            </w:tcMar>
            <w:vAlign w:val="center"/>
          </w:tcPr>
          <w:p>
            <w:pPr>
              <w:jc w:val="center"/>
            </w:pPr>
            <w:r>
              <w:rPr>
                <w:rFonts w:ascii="Georgia" w:cs="Georgia" w:eastAsia="Georgia" w:hAnsi="Georgia"/>
                <w:b/>
                <w:bCs/>
                <w:color w:val="FFFFFF"/>
                <w:sz w:val="30"/>
                <w:szCs w:val="30"/>
              </w:rPr>
              <w:t xml:space="preserve">2</w:t>
            </w:r>
          </w:p>
        </w:tc>
        <w:tc>
          <w:tcPr>
            <w:tcW w:type="dxa" w:w="8100"/>
            <w:shd w:fill="EEF1F5" w:val="clear"/>
            <w:tcMar>
              <w:top w:type="dxa" w:w="160"/>
              <w:left w:type="dxa" w:w="200"/>
              <w:bottom w:type="dxa" w:w="160"/>
              <w:right w:type="dxa" w:w="200"/>
            </w:tcMar>
          </w:tcPr>
          <w:p>
            <w:pPr>
              <w:spacing w:after="80"/>
            </w:pPr>
            <w:r>
              <w:rPr>
                <w:rFonts w:ascii="Georgia" w:cs="Georgia" w:eastAsia="Georgia" w:hAnsi="Georgia"/>
                <w:b/>
                <w:bCs/>
                <w:color w:val="1F3A5F"/>
                <w:sz w:val="26"/>
                <w:szCs w:val="26"/>
              </w:rPr>
              <w:t xml:space="preserve">Define Your Wish List &amp; Budget</w:t>
            </w:r>
          </w:p>
          <w:p>
            <w:pPr>
              <w:spacing w:after="100"/>
            </w:pPr>
            <w:r>
              <w:rPr>
                <w:rFonts w:ascii="Calibri" w:cs="Calibri" w:eastAsia="Calibri" w:hAnsi="Calibri"/>
                <w:color w:val="232323"/>
                <w:sz w:val="21"/>
                <w:szCs w:val="21"/>
              </w:rPr>
              <w:t xml:space="preserve">Think through what you actually need: location, bedrooms, school district, commute, must-haves versus nice-to-haves. This keeps your search focused instead of overwhelming.</w:t>
            </w:r>
          </w:p>
          <w:p>
            <w:r>
              <w:rPr>
                <w:rFonts w:ascii="Calibri" w:cs="Calibri" w:eastAsia="Calibri" w:hAnsi="Calibri"/>
                <w:b/>
                <w:bCs/>
                <w:i/>
                <w:iCs/>
                <w:color w:val="B8892B"/>
                <w:sz w:val="20"/>
                <w:szCs w:val="20"/>
              </w:rPr>
              <w:t xml:space="preserve">Tip: </w:t>
            </w:r>
            <w:r>
              <w:rPr>
                <w:rFonts w:ascii="Calibri" w:cs="Calibri" w:eastAsia="Calibri" w:hAnsi="Calibri"/>
                <w:i/>
                <w:iCs/>
                <w:color w:val="5B6470"/>
                <w:sz w:val="20"/>
                <w:szCs w:val="20"/>
              </w:rPr>
              <w:t xml:space="preserve">Separate "must-haves" from "would be nice" — it makes decisions much easier once you're touring real homes.</w:t>
            </w:r>
          </w:p>
        </w:tc>
      </w:tr>
    </w:tbl>
    <w:p>
      <w:pPr>
        <w:spacing w:after="22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00"/>
      </w:tblGrid>
      <w:tr>
        <w:tc>
          <w:tcPr>
            <w:tcW w:type="dxa" w:w="900"/>
            <w:shd w:fill="1F3A5F" w:val="clear"/>
            <w:tcMar>
              <w:top w:type="dxa" w:w="160"/>
              <w:left w:type="dxa" w:w="100"/>
              <w:bottom w:type="dxa" w:w="160"/>
              <w:right w:type="dxa" w:w="100"/>
            </w:tcMar>
            <w:vAlign w:val="center"/>
          </w:tcPr>
          <w:p>
            <w:pPr>
              <w:jc w:val="center"/>
            </w:pPr>
            <w:r>
              <w:rPr>
                <w:rFonts w:ascii="Georgia" w:cs="Georgia" w:eastAsia="Georgia" w:hAnsi="Georgia"/>
                <w:b/>
                <w:bCs/>
                <w:color w:val="FFFFFF"/>
                <w:sz w:val="30"/>
                <w:szCs w:val="30"/>
              </w:rPr>
              <w:t xml:space="preserve">3</w:t>
            </w:r>
          </w:p>
        </w:tc>
        <w:tc>
          <w:tcPr>
            <w:tcW w:type="dxa" w:w="8100"/>
            <w:shd w:fill="EEF1F5" w:val="clear"/>
            <w:tcMar>
              <w:top w:type="dxa" w:w="160"/>
              <w:left w:type="dxa" w:w="200"/>
              <w:bottom w:type="dxa" w:w="160"/>
              <w:right w:type="dxa" w:w="200"/>
            </w:tcMar>
          </w:tcPr>
          <w:p>
            <w:pPr>
              <w:spacing w:after="80"/>
            </w:pPr>
            <w:r>
              <w:rPr>
                <w:rFonts w:ascii="Georgia" w:cs="Georgia" w:eastAsia="Georgia" w:hAnsi="Georgia"/>
                <w:b/>
                <w:bCs/>
                <w:color w:val="1F3A5F"/>
                <w:sz w:val="26"/>
                <w:szCs w:val="26"/>
              </w:rPr>
              <w:t xml:space="preserve">Start the Home Search</w:t>
            </w:r>
          </w:p>
          <w:p>
            <w:pPr>
              <w:spacing w:after="100"/>
            </w:pPr>
            <w:r>
              <w:rPr>
                <w:rFonts w:ascii="Calibri" w:cs="Calibri" w:eastAsia="Calibri" w:hAnsi="Calibri"/>
                <w:color w:val="232323"/>
                <w:sz w:val="21"/>
                <w:szCs w:val="21"/>
              </w:rPr>
              <w:t xml:space="preserve">This is where I come in — pulling listings that match your criteria, scheduling showings, and pointing out things you might not think to check (roof age, HOA rules, resale potential).</w:t>
            </w:r>
          </w:p>
          <w:p>
            <w:r>
              <w:rPr>
                <w:rFonts w:ascii="Calibri" w:cs="Calibri" w:eastAsia="Calibri" w:hAnsi="Calibri"/>
                <w:b/>
                <w:bCs/>
                <w:i/>
                <w:iCs/>
                <w:color w:val="B8892B"/>
                <w:sz w:val="20"/>
                <w:szCs w:val="20"/>
              </w:rPr>
              <w:t xml:space="preserve">Tip: </w:t>
            </w:r>
            <w:r>
              <w:rPr>
                <w:rFonts w:ascii="Calibri" w:cs="Calibri" w:eastAsia="Calibri" w:hAnsi="Calibri"/>
                <w:i/>
                <w:iCs/>
                <w:color w:val="5B6470"/>
                <w:sz w:val="20"/>
                <w:szCs w:val="20"/>
              </w:rPr>
              <w:t xml:space="preserve">Don't skip the neighborhood drive-by at a different time of day than your showing — it tells you a lot.</w:t>
            </w:r>
          </w:p>
        </w:tc>
      </w:tr>
    </w:tbl>
    <w:p>
      <w:pPr>
        <w:spacing w:after="22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00"/>
      </w:tblGrid>
      <w:tr>
        <w:tc>
          <w:tcPr>
            <w:tcW w:type="dxa" w:w="900"/>
            <w:shd w:fill="1F3A5F" w:val="clear"/>
            <w:tcMar>
              <w:top w:type="dxa" w:w="160"/>
              <w:left w:type="dxa" w:w="100"/>
              <w:bottom w:type="dxa" w:w="160"/>
              <w:right w:type="dxa" w:w="100"/>
            </w:tcMar>
            <w:vAlign w:val="center"/>
          </w:tcPr>
          <w:p>
            <w:pPr>
              <w:jc w:val="center"/>
            </w:pPr>
            <w:r>
              <w:rPr>
                <w:rFonts w:ascii="Georgia" w:cs="Georgia" w:eastAsia="Georgia" w:hAnsi="Georgia"/>
                <w:b/>
                <w:bCs/>
                <w:color w:val="FFFFFF"/>
                <w:sz w:val="30"/>
                <w:szCs w:val="30"/>
              </w:rPr>
              <w:t xml:space="preserve">4</w:t>
            </w:r>
          </w:p>
        </w:tc>
        <w:tc>
          <w:tcPr>
            <w:tcW w:type="dxa" w:w="8100"/>
            <w:shd w:fill="EEF1F5" w:val="clear"/>
            <w:tcMar>
              <w:top w:type="dxa" w:w="160"/>
              <w:left w:type="dxa" w:w="200"/>
              <w:bottom w:type="dxa" w:w="160"/>
              <w:right w:type="dxa" w:w="200"/>
            </w:tcMar>
          </w:tcPr>
          <w:p>
            <w:pPr>
              <w:spacing w:after="80"/>
            </w:pPr>
            <w:r>
              <w:rPr>
                <w:rFonts w:ascii="Georgia" w:cs="Georgia" w:eastAsia="Georgia" w:hAnsi="Georgia"/>
                <w:b/>
                <w:bCs/>
                <w:color w:val="1F3A5F"/>
                <w:sz w:val="26"/>
                <w:szCs w:val="26"/>
              </w:rPr>
              <w:t xml:space="preserve">Make an Offer</w:t>
            </w:r>
          </w:p>
          <w:p>
            <w:pPr>
              <w:spacing w:after="100"/>
            </w:pPr>
            <w:r>
              <w:rPr>
                <w:rFonts w:ascii="Calibri" w:cs="Calibri" w:eastAsia="Calibri" w:hAnsi="Calibri"/>
                <w:color w:val="232323"/>
                <w:sz w:val="21"/>
                <w:szCs w:val="21"/>
              </w:rPr>
              <w:t xml:space="preserve">Once you find the one, we'll put together a competitive offer based on comparable sales, market conditions, and your priorities — including price, closing timeline, and contingencies.</w:t>
            </w:r>
          </w:p>
          <w:p>
            <w:r>
              <w:rPr>
                <w:rFonts w:ascii="Calibri" w:cs="Calibri" w:eastAsia="Calibri" w:hAnsi="Calibri"/>
                <w:b/>
                <w:bCs/>
                <w:i/>
                <w:iCs/>
                <w:color w:val="B8892B"/>
                <w:sz w:val="20"/>
                <w:szCs w:val="20"/>
              </w:rPr>
              <w:t xml:space="preserve">Tip: </w:t>
            </w:r>
            <w:r>
              <w:rPr>
                <w:rFonts w:ascii="Calibri" w:cs="Calibri" w:eastAsia="Calibri" w:hAnsi="Calibri"/>
                <w:i/>
                <w:iCs/>
                <w:color w:val="5B6470"/>
                <w:sz w:val="20"/>
                <w:szCs w:val="20"/>
              </w:rPr>
              <w:t xml:space="preserve">In a competitive market, a clean offer with fewer conditions can matter as much as the price.</w:t>
            </w:r>
          </w:p>
        </w:tc>
      </w:tr>
    </w:tbl>
    <w:p>
      <w:pPr>
        <w:spacing w:after="22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00"/>
      </w:tblGrid>
      <w:tr>
        <w:tc>
          <w:tcPr>
            <w:tcW w:type="dxa" w:w="900"/>
            <w:shd w:fill="1F3A5F" w:val="clear"/>
            <w:tcMar>
              <w:top w:type="dxa" w:w="160"/>
              <w:left w:type="dxa" w:w="100"/>
              <w:bottom w:type="dxa" w:w="160"/>
              <w:right w:type="dxa" w:w="100"/>
            </w:tcMar>
            <w:vAlign w:val="center"/>
          </w:tcPr>
          <w:p>
            <w:pPr>
              <w:jc w:val="center"/>
            </w:pPr>
            <w:r>
              <w:rPr>
                <w:rFonts w:ascii="Georgia" w:cs="Georgia" w:eastAsia="Georgia" w:hAnsi="Georgia"/>
                <w:b/>
                <w:bCs/>
                <w:color w:val="FFFFFF"/>
                <w:sz w:val="30"/>
                <w:szCs w:val="30"/>
              </w:rPr>
              <w:t xml:space="preserve">5</w:t>
            </w:r>
          </w:p>
        </w:tc>
        <w:tc>
          <w:tcPr>
            <w:tcW w:type="dxa" w:w="8100"/>
            <w:shd w:fill="EEF1F5" w:val="clear"/>
            <w:tcMar>
              <w:top w:type="dxa" w:w="160"/>
              <w:left w:type="dxa" w:w="200"/>
              <w:bottom w:type="dxa" w:w="160"/>
              <w:right w:type="dxa" w:w="200"/>
            </w:tcMar>
          </w:tcPr>
          <w:p>
            <w:pPr>
              <w:spacing w:after="80"/>
            </w:pPr>
            <w:r>
              <w:rPr>
                <w:rFonts w:ascii="Georgia" w:cs="Georgia" w:eastAsia="Georgia" w:hAnsi="Georgia"/>
                <w:b/>
                <w:bCs/>
                <w:color w:val="1F3A5F"/>
                <w:sz w:val="26"/>
                <w:szCs w:val="26"/>
              </w:rPr>
              <w:t xml:space="preserve">Open Escrow &amp; Submit Earnest Money</w:t>
            </w:r>
          </w:p>
          <w:p>
            <w:pPr>
              <w:spacing w:after="0"/>
            </w:pPr>
            <w:r>
              <w:rPr>
                <w:rFonts w:ascii="Calibri" w:cs="Calibri" w:eastAsia="Calibri" w:hAnsi="Calibri"/>
                <w:color w:val="232323"/>
                <w:sz w:val="21"/>
                <w:szCs w:val="21"/>
              </w:rPr>
              <w:t xml:space="preserve">Once your offer is accepted, escrow opens with a neutral title/escrow company, and your earnest money deposit is submitted to show you're committed to the purchase.</w:t>
            </w:r>
          </w:p>
        </w:tc>
      </w:tr>
    </w:tbl>
    <w:p>
      <w:pPr>
        <w:spacing w:after="22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00"/>
      </w:tblGrid>
      <w:tr>
        <w:tc>
          <w:tcPr>
            <w:tcW w:type="dxa" w:w="900"/>
            <w:shd w:fill="1F3A5F" w:val="clear"/>
            <w:tcMar>
              <w:top w:type="dxa" w:w="160"/>
              <w:left w:type="dxa" w:w="100"/>
              <w:bottom w:type="dxa" w:w="160"/>
              <w:right w:type="dxa" w:w="100"/>
            </w:tcMar>
            <w:vAlign w:val="center"/>
          </w:tcPr>
          <w:p>
            <w:pPr>
              <w:jc w:val="center"/>
            </w:pPr>
            <w:r>
              <w:rPr>
                <w:rFonts w:ascii="Georgia" w:cs="Georgia" w:eastAsia="Georgia" w:hAnsi="Georgia"/>
                <w:b/>
                <w:bCs/>
                <w:color w:val="FFFFFF"/>
                <w:sz w:val="30"/>
                <w:szCs w:val="30"/>
              </w:rPr>
              <w:t xml:space="preserve">6</w:t>
            </w:r>
          </w:p>
        </w:tc>
        <w:tc>
          <w:tcPr>
            <w:tcW w:type="dxa" w:w="8100"/>
            <w:shd w:fill="EEF1F5" w:val="clear"/>
            <w:tcMar>
              <w:top w:type="dxa" w:w="160"/>
              <w:left w:type="dxa" w:w="200"/>
              <w:bottom w:type="dxa" w:w="160"/>
              <w:right w:type="dxa" w:w="200"/>
            </w:tcMar>
          </w:tcPr>
          <w:p>
            <w:pPr>
              <w:spacing w:after="80"/>
            </w:pPr>
            <w:r>
              <w:rPr>
                <w:rFonts w:ascii="Georgia" w:cs="Georgia" w:eastAsia="Georgia" w:hAnsi="Georgia"/>
                <w:b/>
                <w:bCs/>
                <w:color w:val="1F3A5F"/>
                <w:sz w:val="26"/>
                <w:szCs w:val="26"/>
              </w:rPr>
              <w:t xml:space="preserve">Home Inspection</w:t>
            </w:r>
          </w:p>
          <w:p>
            <w:pPr>
              <w:spacing w:after="100"/>
            </w:pPr>
            <w:r>
              <w:rPr>
                <w:rFonts w:ascii="Calibri" w:cs="Calibri" w:eastAsia="Calibri" w:hAnsi="Calibri"/>
                <w:color w:val="232323"/>
                <w:sz w:val="21"/>
                <w:szCs w:val="21"/>
              </w:rPr>
              <w:t xml:space="preserve">A licensed inspector examines the property's condition from roof to foundation. If issues turn up, you can request repairs, a price credit, or in some cases walk away.</w:t>
            </w:r>
          </w:p>
          <w:p>
            <w:r>
              <w:rPr>
                <w:rFonts w:ascii="Calibri" w:cs="Calibri" w:eastAsia="Calibri" w:hAnsi="Calibri"/>
                <w:b/>
                <w:bCs/>
                <w:i/>
                <w:iCs/>
                <w:color w:val="B8892B"/>
                <w:sz w:val="20"/>
                <w:szCs w:val="20"/>
              </w:rPr>
              <w:t xml:space="preserve">Tip: </w:t>
            </w:r>
            <w:r>
              <w:rPr>
                <w:rFonts w:ascii="Calibri" w:cs="Calibri" w:eastAsia="Calibri" w:hAnsi="Calibri"/>
                <w:i/>
                <w:iCs/>
                <w:color w:val="5B6470"/>
                <w:sz w:val="20"/>
                <w:szCs w:val="20"/>
              </w:rPr>
              <w:t xml:space="preserve">Attend the inspection in person if you can — seeing issues firsthand is more useful than reading about them later.</w:t>
            </w:r>
          </w:p>
        </w:tc>
      </w:tr>
    </w:tbl>
    <w:p>
      <w:pPr>
        <w:spacing w:after="22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00"/>
      </w:tblGrid>
      <w:tr>
        <w:tc>
          <w:tcPr>
            <w:tcW w:type="dxa" w:w="900"/>
            <w:shd w:fill="1F3A5F" w:val="clear"/>
            <w:tcMar>
              <w:top w:type="dxa" w:w="160"/>
              <w:left w:type="dxa" w:w="100"/>
              <w:bottom w:type="dxa" w:w="160"/>
              <w:right w:type="dxa" w:w="100"/>
            </w:tcMar>
            <w:vAlign w:val="center"/>
          </w:tcPr>
          <w:p>
            <w:pPr>
              <w:jc w:val="center"/>
            </w:pPr>
            <w:r>
              <w:rPr>
                <w:rFonts w:ascii="Georgia" w:cs="Georgia" w:eastAsia="Georgia" w:hAnsi="Georgia"/>
                <w:b/>
                <w:bCs/>
                <w:color w:val="FFFFFF"/>
                <w:sz w:val="30"/>
                <w:szCs w:val="30"/>
              </w:rPr>
              <w:t xml:space="preserve">7</w:t>
            </w:r>
          </w:p>
        </w:tc>
        <w:tc>
          <w:tcPr>
            <w:tcW w:type="dxa" w:w="8100"/>
            <w:shd w:fill="EEF1F5" w:val="clear"/>
            <w:tcMar>
              <w:top w:type="dxa" w:w="160"/>
              <w:left w:type="dxa" w:w="200"/>
              <w:bottom w:type="dxa" w:w="160"/>
              <w:right w:type="dxa" w:w="200"/>
            </w:tcMar>
          </w:tcPr>
          <w:p>
            <w:pPr>
              <w:spacing w:after="80"/>
            </w:pPr>
            <w:r>
              <w:rPr>
                <w:rFonts w:ascii="Georgia" w:cs="Georgia" w:eastAsia="Georgia" w:hAnsi="Georgia"/>
                <w:b/>
                <w:bCs/>
                <w:color w:val="1F3A5F"/>
                <w:sz w:val="26"/>
                <w:szCs w:val="26"/>
              </w:rPr>
              <w:t xml:space="preserve">Appraisal &amp; Underwriting</w:t>
            </w:r>
          </w:p>
          <w:p>
            <w:pPr>
              <w:spacing w:after="100"/>
            </w:pPr>
            <w:r>
              <w:rPr>
                <w:rFonts w:ascii="Calibri" w:cs="Calibri" w:eastAsia="Calibri" w:hAnsi="Calibri"/>
                <w:color w:val="232323"/>
                <w:sz w:val="21"/>
                <w:szCs w:val="21"/>
              </w:rPr>
              <w:t xml:space="preserve">Your lender orders an appraisal to confirm the home's value supports the loan, while underwriting reviews your full financial picture. This ends with a "clear to close."</w:t>
            </w:r>
          </w:p>
          <w:p>
            <w:r>
              <w:rPr>
                <w:rFonts w:ascii="Calibri" w:cs="Calibri" w:eastAsia="Calibri" w:hAnsi="Calibri"/>
                <w:b/>
                <w:bCs/>
                <w:i/>
                <w:iCs/>
                <w:color w:val="B8892B"/>
                <w:sz w:val="20"/>
                <w:szCs w:val="20"/>
              </w:rPr>
              <w:t xml:space="preserve">Tip: </w:t>
            </w:r>
            <w:r>
              <w:rPr>
                <w:rFonts w:ascii="Calibri" w:cs="Calibri" w:eastAsia="Calibri" w:hAnsi="Calibri"/>
                <w:i/>
                <w:iCs/>
                <w:color w:val="5B6470"/>
                <w:sz w:val="20"/>
                <w:szCs w:val="20"/>
              </w:rPr>
              <w:t xml:space="preserve">Avoid opening new credit or making large purchases during this stage — it can affect your loan approval.</w:t>
            </w:r>
          </w:p>
        </w:tc>
      </w:tr>
    </w:tbl>
    <w:p>
      <w:pPr>
        <w:spacing w:after="22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00"/>
      </w:tblGrid>
      <w:tr>
        <w:tc>
          <w:tcPr>
            <w:tcW w:type="dxa" w:w="900"/>
            <w:shd w:fill="1F3A5F" w:val="clear"/>
            <w:tcMar>
              <w:top w:type="dxa" w:w="160"/>
              <w:left w:type="dxa" w:w="100"/>
              <w:bottom w:type="dxa" w:w="160"/>
              <w:right w:type="dxa" w:w="100"/>
            </w:tcMar>
            <w:vAlign w:val="center"/>
          </w:tcPr>
          <w:p>
            <w:pPr>
              <w:jc w:val="center"/>
            </w:pPr>
            <w:r>
              <w:rPr>
                <w:rFonts w:ascii="Georgia" w:cs="Georgia" w:eastAsia="Georgia" w:hAnsi="Georgia"/>
                <w:b/>
                <w:bCs/>
                <w:color w:val="FFFFFF"/>
                <w:sz w:val="30"/>
                <w:szCs w:val="30"/>
              </w:rPr>
              <w:t xml:space="preserve">8</w:t>
            </w:r>
          </w:p>
        </w:tc>
        <w:tc>
          <w:tcPr>
            <w:tcW w:type="dxa" w:w="8100"/>
            <w:shd w:fill="EEF1F5" w:val="clear"/>
            <w:tcMar>
              <w:top w:type="dxa" w:w="160"/>
              <w:left w:type="dxa" w:w="200"/>
              <w:bottom w:type="dxa" w:w="160"/>
              <w:right w:type="dxa" w:w="200"/>
            </w:tcMar>
          </w:tcPr>
          <w:p>
            <w:pPr>
              <w:spacing w:after="80"/>
            </w:pPr>
            <w:r>
              <w:rPr>
                <w:rFonts w:ascii="Georgia" w:cs="Georgia" w:eastAsia="Georgia" w:hAnsi="Georgia"/>
                <w:b/>
                <w:bCs/>
                <w:color w:val="1F3A5F"/>
                <w:sz w:val="26"/>
                <w:szCs w:val="26"/>
              </w:rPr>
              <w:t xml:space="preserve">Final Walkthrough &amp; Closing</w:t>
            </w:r>
          </w:p>
          <w:p>
            <w:pPr>
              <w:spacing w:after="0"/>
            </w:pPr>
            <w:r>
              <w:rPr>
                <w:rFonts w:ascii="Calibri" w:cs="Calibri" w:eastAsia="Calibri" w:hAnsi="Calibri"/>
                <w:color w:val="232323"/>
                <w:sz w:val="21"/>
                <w:szCs w:val="21"/>
              </w:rPr>
              <w:t xml:space="preserve">A day or two before closing, we do a final walkthrough to confirm the home's condition. Then you'll sign the closing documents, pay closing costs, and the home officially becomes yours.</w:t>
            </w:r>
          </w:p>
        </w:tc>
      </w:tr>
    </w:tbl>
    <w:p>
      <w:pPr>
        <w:spacing w:after="22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00"/>
      </w:tblGrid>
      <w:tr>
        <w:tc>
          <w:tcPr>
            <w:tcW w:type="dxa" w:w="900"/>
            <w:shd w:fill="1F3A5F" w:val="clear"/>
            <w:tcMar>
              <w:top w:type="dxa" w:w="160"/>
              <w:left w:type="dxa" w:w="100"/>
              <w:bottom w:type="dxa" w:w="160"/>
              <w:right w:type="dxa" w:w="100"/>
            </w:tcMar>
            <w:vAlign w:val="center"/>
          </w:tcPr>
          <w:p>
            <w:pPr>
              <w:jc w:val="center"/>
            </w:pPr>
            <w:r>
              <w:rPr>
                <w:rFonts w:ascii="Georgia" w:cs="Georgia" w:eastAsia="Georgia" w:hAnsi="Georgia"/>
                <w:b/>
                <w:bCs/>
                <w:color w:val="FFFFFF"/>
                <w:sz w:val="30"/>
                <w:szCs w:val="30"/>
              </w:rPr>
              <w:t xml:space="preserve">9</w:t>
            </w:r>
          </w:p>
        </w:tc>
        <w:tc>
          <w:tcPr>
            <w:tcW w:type="dxa" w:w="8100"/>
            <w:shd w:fill="EEF1F5" w:val="clear"/>
            <w:tcMar>
              <w:top w:type="dxa" w:w="160"/>
              <w:left w:type="dxa" w:w="200"/>
              <w:bottom w:type="dxa" w:w="160"/>
              <w:right w:type="dxa" w:w="200"/>
            </w:tcMar>
          </w:tcPr>
          <w:p>
            <w:pPr>
              <w:spacing w:after="80"/>
            </w:pPr>
            <w:r>
              <w:rPr>
                <w:rFonts w:ascii="Georgia" w:cs="Georgia" w:eastAsia="Georgia" w:hAnsi="Georgia"/>
                <w:b/>
                <w:bCs/>
                <w:color w:val="1F3A5F"/>
                <w:sz w:val="26"/>
                <w:szCs w:val="26"/>
              </w:rPr>
              <w:t xml:space="preserve">Move In!</w:t>
            </w:r>
          </w:p>
          <w:p>
            <w:pPr>
              <w:spacing w:after="0"/>
            </w:pPr>
            <w:r>
              <w:rPr>
                <w:rFonts w:ascii="Calibri" w:cs="Calibri" w:eastAsia="Calibri" w:hAnsi="Calibri"/>
                <w:color w:val="232323"/>
                <w:sz w:val="21"/>
                <w:szCs w:val="21"/>
              </w:rPr>
              <w:t xml:space="preserve">Keys in hand — congratulations, you're a homeowner. Don't forget to set up utilities, change your address, and take a moment to enjoy it.</w:t>
            </w:r>
          </w:p>
        </w:tc>
      </w:tr>
    </w:tbl>
    <w:p>
      <w:pPr>
        <w:spacing w:after="220"/>
      </w:pPr>
    </w:p>
    <w:p>
      <w:r>
        <w:br w:type="page"/>
      </w:r>
    </w:p>
    <w:p>
      <w:pPr>
        <w:pStyle w:val="Heading1"/>
        <w:spacing w:after="160" w:before="200"/>
      </w:pPr>
      <w:r>
        <w:rPr>
          <w:rFonts w:ascii="Georgia" w:cs="Georgia" w:eastAsia="Georgia" w:hAnsi="Georgia"/>
          <w:b/>
          <w:bCs/>
          <w:color w:val="1F3A5F"/>
          <w:sz w:val="36"/>
          <w:szCs w:val="36"/>
        </w:rPr>
        <w:t xml:space="preserve">A Realistic Timeline</w:t>
      </w:r>
    </w:p>
    <w:p>
      <w:pPr>
        <w:pBdr>
          <w:bottom w:val="single" w:color="B8892B" w:sz="12" w:space="1"/>
        </w:pBdr>
        <w:spacing w:after="240"/>
      </w:pPr>
    </w:p>
    <w:p>
      <w:pPr>
        <w:spacing w:after="160"/>
        <w:jc w:val="left"/>
      </w:pPr>
      <w:r>
        <w:rPr>
          <w:rFonts w:ascii="Calibri" w:cs="Calibri" w:eastAsia="Calibri" w:hAnsi="Calibri"/>
          <w:color w:val="232323"/>
          <w:sz w:val="22"/>
          <w:szCs w:val="22"/>
        </w:rPr>
        <w:t xml:space="preserve">Every deal moves at its own pace, but most purchases follow a similar general rhythm once you're under contract:</w:t>
      </w:r>
    </w:p>
    <w:p>
      <w:pPr>
        <w:pStyle w:val="ListParagraph"/>
        <w:numPr>
          <w:ilvl w:val="0"/>
          <w:numId w:val="1"/>
        </w:numPr>
        <w:spacing w:after="100"/>
      </w:pPr>
      <w:r>
        <w:rPr>
          <w:rFonts w:ascii="Calibri" w:cs="Calibri" w:eastAsia="Calibri" w:hAnsi="Calibri"/>
          <w:color w:val="232323"/>
          <w:sz w:val="22"/>
          <w:szCs w:val="22"/>
        </w:rPr>
        <w:t xml:space="preserve">Offer accepted to inspection: 5–10 days</w:t>
      </w:r>
    </w:p>
    <w:p>
      <w:pPr>
        <w:pStyle w:val="ListParagraph"/>
        <w:numPr>
          <w:ilvl w:val="0"/>
          <w:numId w:val="1"/>
        </w:numPr>
        <w:spacing w:after="100"/>
      </w:pPr>
      <w:r>
        <w:rPr>
          <w:rFonts w:ascii="Calibri" w:cs="Calibri" w:eastAsia="Calibri" w:hAnsi="Calibri"/>
          <w:color w:val="232323"/>
          <w:sz w:val="22"/>
          <w:szCs w:val="22"/>
        </w:rPr>
        <w:t xml:space="preserve">Inspection to appraisal: 1–2 weeks</w:t>
      </w:r>
    </w:p>
    <w:p>
      <w:pPr>
        <w:pStyle w:val="ListParagraph"/>
        <w:numPr>
          <w:ilvl w:val="0"/>
          <w:numId w:val="1"/>
        </w:numPr>
        <w:spacing w:after="100"/>
      </w:pPr>
      <w:r>
        <w:rPr>
          <w:rFonts w:ascii="Calibri" w:cs="Calibri" w:eastAsia="Calibri" w:hAnsi="Calibri"/>
          <w:color w:val="232323"/>
          <w:sz w:val="22"/>
          <w:szCs w:val="22"/>
        </w:rPr>
        <w:t xml:space="preserve">Appraisal to "clear to close": 2–4 weeks</w:t>
      </w:r>
    </w:p>
    <w:p>
      <w:pPr>
        <w:pStyle w:val="ListParagraph"/>
        <w:numPr>
          <w:ilvl w:val="0"/>
          <w:numId w:val="1"/>
        </w:numPr>
        <w:spacing w:after="100"/>
      </w:pPr>
      <w:r>
        <w:rPr>
          <w:rFonts w:ascii="Calibri" w:cs="Calibri" w:eastAsia="Calibri" w:hAnsi="Calibri"/>
          <w:color w:val="232323"/>
          <w:sz w:val="22"/>
          <w:szCs w:val="22"/>
        </w:rPr>
        <w:t xml:space="preserve">Total time from accepted offer to closing: usually 30–45 days</w:t>
      </w:r>
    </w:p>
    <w:p>
      <w:pPr>
        <w:spacing w:after="300"/>
        <w:jc w:val="left"/>
      </w:pPr>
      <w:r>
        <w:rPr>
          <w:rFonts w:ascii="Calibri" w:cs="Calibri" w:eastAsia="Calibri" w:hAnsi="Calibri"/>
          <w:color w:val="232323"/>
          <w:sz w:val="22"/>
          <w:szCs w:val="22"/>
        </w:rPr>
        <w:t xml:space="preserve">Cash purchases and simpler financing can move faster; unique properties or busy lending seasons can take longer. I'll keep you updated on where things stand throughout.</w:t>
      </w:r>
    </w:p>
    <w:p>
      <w:pPr>
        <w:pStyle w:val="Heading1"/>
        <w:spacing w:after="160" w:before="200"/>
      </w:pPr>
      <w:r>
        <w:rPr>
          <w:rFonts w:ascii="Georgia" w:cs="Georgia" w:eastAsia="Georgia" w:hAnsi="Georgia"/>
          <w:b/>
          <w:bCs/>
          <w:color w:val="1F3A5F"/>
          <w:sz w:val="36"/>
          <w:szCs w:val="36"/>
        </w:rPr>
        <w:t xml:space="preserve">Key Terms, Plain and Simple</w:t>
      </w:r>
    </w:p>
    <w:p>
      <w:pPr>
        <w:pBdr>
          <w:bottom w:val="single" w:color="B8892B" w:sz="12" w:space="1"/>
        </w:pBdr>
        <w:spacing w:after="240"/>
      </w:pPr>
    </w:p>
    <w:tbl>
      <w:tblPr>
        <w:tblW w:type="dxa" w:w="9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600"/>
      </w:tblGrid>
      <w:tr>
        <w:tc>
          <w:tcPr>
            <w:tcW w:type="dxa" w:w="2400"/>
            <w:shd w:fill="EEF1F5" w:val="clear"/>
            <w:tcMar>
              <w:top w:type="dxa" w:w="100"/>
              <w:left w:type="dxa" w:w="150"/>
              <w:bottom w:type="dxa" w:w="100"/>
              <w:right w:type="dxa" w:w="100"/>
            </w:tcMar>
          </w:tcPr>
          <w:p>
            <w:r>
              <w:rPr>
                <w:rFonts w:ascii="Calibri" w:cs="Calibri" w:eastAsia="Calibri" w:hAnsi="Calibri"/>
                <w:b/>
                <w:bCs/>
                <w:color w:val="1F3A5F"/>
                <w:sz w:val="20"/>
                <w:szCs w:val="20"/>
              </w:rPr>
              <w:t xml:space="preserve">Pre-Approval</w:t>
            </w:r>
          </w:p>
        </w:tc>
        <w:tc>
          <w:tcPr>
            <w:tcW w:type="dxa" w:w="6600"/>
            <w:shd w:fill="EEF1F5" w:val="clear"/>
            <w:tcMar>
              <w:top w:type="dxa" w:w="100"/>
              <w:left w:type="dxa" w:w="150"/>
              <w:bottom w:type="dxa" w:w="100"/>
              <w:right w:type="dxa" w:w="100"/>
            </w:tcMar>
          </w:tcPr>
          <w:p>
            <w:r>
              <w:rPr>
                <w:rFonts w:ascii="Calibri" w:cs="Calibri" w:eastAsia="Calibri" w:hAnsi="Calibri"/>
                <w:color w:val="232323"/>
                <w:sz w:val="20"/>
                <w:szCs w:val="20"/>
              </w:rPr>
              <w:t xml:space="preserve">A lender's written estimate of how much you can borrow, based on a review of your income, credit, and debt. Stronger than "pre-qualification" and usually required to make an offer.</w:t>
            </w:r>
          </w:p>
        </w:tc>
      </w:tr>
      <w:tr>
        <w:tc>
          <w:tcPr>
            <w:tcW w:type="dxa" w:w="2400"/>
            <w:shd w:fill="FFFFFF" w:val="clear"/>
            <w:tcMar>
              <w:top w:type="dxa" w:w="100"/>
              <w:left w:type="dxa" w:w="150"/>
              <w:bottom w:type="dxa" w:w="100"/>
              <w:right w:type="dxa" w:w="100"/>
            </w:tcMar>
          </w:tcPr>
          <w:p>
            <w:r>
              <w:rPr>
                <w:rFonts w:ascii="Calibri" w:cs="Calibri" w:eastAsia="Calibri" w:hAnsi="Calibri"/>
                <w:b/>
                <w:bCs/>
                <w:color w:val="1F3A5F"/>
                <w:sz w:val="20"/>
                <w:szCs w:val="20"/>
              </w:rPr>
              <w:t xml:space="preserve">Earnest Money</w:t>
            </w:r>
          </w:p>
        </w:tc>
        <w:tc>
          <w:tcPr>
            <w:tcW w:type="dxa" w:w="6600"/>
            <w:shd w:fill="FFFFFF" w:val="clear"/>
            <w:tcMar>
              <w:top w:type="dxa" w:w="100"/>
              <w:left w:type="dxa" w:w="150"/>
              <w:bottom w:type="dxa" w:w="100"/>
              <w:right w:type="dxa" w:w="100"/>
            </w:tcMar>
          </w:tcPr>
          <w:p>
            <w:r>
              <w:rPr>
                <w:rFonts w:ascii="Calibri" w:cs="Calibri" w:eastAsia="Calibri" w:hAnsi="Calibri"/>
                <w:color w:val="232323"/>
                <w:sz w:val="20"/>
                <w:szCs w:val="20"/>
              </w:rPr>
              <w:t xml:space="preserve">A deposit (often 1–3% of the price) submitted with your offer to show you're serious. It's held in escrow and applied toward your down payment or closing costs at closing.</w:t>
            </w:r>
          </w:p>
        </w:tc>
      </w:tr>
      <w:tr>
        <w:tc>
          <w:tcPr>
            <w:tcW w:type="dxa" w:w="2400"/>
            <w:shd w:fill="EEF1F5" w:val="clear"/>
            <w:tcMar>
              <w:top w:type="dxa" w:w="100"/>
              <w:left w:type="dxa" w:w="150"/>
              <w:bottom w:type="dxa" w:w="100"/>
              <w:right w:type="dxa" w:w="100"/>
            </w:tcMar>
          </w:tcPr>
          <w:p>
            <w:r>
              <w:rPr>
                <w:rFonts w:ascii="Calibri" w:cs="Calibri" w:eastAsia="Calibri" w:hAnsi="Calibri"/>
                <w:b/>
                <w:bCs/>
                <w:color w:val="1F3A5F"/>
                <w:sz w:val="20"/>
                <w:szCs w:val="20"/>
              </w:rPr>
              <w:t xml:space="preserve">Escrow</w:t>
            </w:r>
          </w:p>
        </w:tc>
        <w:tc>
          <w:tcPr>
            <w:tcW w:type="dxa" w:w="6600"/>
            <w:shd w:fill="EEF1F5" w:val="clear"/>
            <w:tcMar>
              <w:top w:type="dxa" w:w="100"/>
              <w:left w:type="dxa" w:w="150"/>
              <w:bottom w:type="dxa" w:w="100"/>
              <w:right w:type="dxa" w:w="100"/>
            </w:tcMar>
          </w:tcPr>
          <w:p>
            <w:r>
              <w:rPr>
                <w:rFonts w:ascii="Calibri" w:cs="Calibri" w:eastAsia="Calibri" w:hAnsi="Calibri"/>
                <w:color w:val="232323"/>
                <w:sz w:val="20"/>
                <w:szCs w:val="20"/>
              </w:rPr>
              <w:t xml:space="preserve">A neutral third party (an escrow or title company) that holds funds and documents until every condition of the sale is met, then completes the transfer.</w:t>
            </w:r>
          </w:p>
        </w:tc>
      </w:tr>
      <w:tr>
        <w:tc>
          <w:tcPr>
            <w:tcW w:type="dxa" w:w="2400"/>
            <w:shd w:fill="FFFFFF" w:val="clear"/>
            <w:tcMar>
              <w:top w:type="dxa" w:w="100"/>
              <w:left w:type="dxa" w:w="150"/>
              <w:bottom w:type="dxa" w:w="100"/>
              <w:right w:type="dxa" w:w="100"/>
            </w:tcMar>
          </w:tcPr>
          <w:p>
            <w:r>
              <w:rPr>
                <w:rFonts w:ascii="Calibri" w:cs="Calibri" w:eastAsia="Calibri" w:hAnsi="Calibri"/>
                <w:b/>
                <w:bCs/>
                <w:color w:val="1F3A5F"/>
                <w:sz w:val="20"/>
                <w:szCs w:val="20"/>
              </w:rPr>
              <w:t xml:space="preserve">Contingency</w:t>
            </w:r>
          </w:p>
        </w:tc>
        <w:tc>
          <w:tcPr>
            <w:tcW w:type="dxa" w:w="6600"/>
            <w:shd w:fill="FFFFFF" w:val="clear"/>
            <w:tcMar>
              <w:top w:type="dxa" w:w="100"/>
              <w:left w:type="dxa" w:w="150"/>
              <w:bottom w:type="dxa" w:w="100"/>
              <w:right w:type="dxa" w:w="100"/>
            </w:tcMar>
          </w:tcPr>
          <w:p>
            <w:r>
              <w:rPr>
                <w:rFonts w:ascii="Calibri" w:cs="Calibri" w:eastAsia="Calibri" w:hAnsi="Calibri"/>
                <w:color w:val="232323"/>
                <w:sz w:val="20"/>
                <w:szCs w:val="20"/>
              </w:rPr>
              <w:t xml:space="preserve">A condition that must be satisfied for the sale to move forward — common ones include inspection, appraisal, and financing contingencies. They protect the buyer.</w:t>
            </w:r>
          </w:p>
        </w:tc>
      </w:tr>
      <w:tr>
        <w:tc>
          <w:tcPr>
            <w:tcW w:type="dxa" w:w="2400"/>
            <w:shd w:fill="EEF1F5" w:val="clear"/>
            <w:tcMar>
              <w:top w:type="dxa" w:w="100"/>
              <w:left w:type="dxa" w:w="150"/>
              <w:bottom w:type="dxa" w:w="100"/>
              <w:right w:type="dxa" w:w="100"/>
            </w:tcMar>
          </w:tcPr>
          <w:p>
            <w:r>
              <w:rPr>
                <w:rFonts w:ascii="Calibri" w:cs="Calibri" w:eastAsia="Calibri" w:hAnsi="Calibri"/>
                <w:b/>
                <w:bCs/>
                <w:color w:val="1F3A5F"/>
                <w:sz w:val="20"/>
                <w:szCs w:val="20"/>
              </w:rPr>
              <w:t xml:space="preserve">Home Inspection</w:t>
            </w:r>
          </w:p>
        </w:tc>
        <w:tc>
          <w:tcPr>
            <w:tcW w:type="dxa" w:w="6600"/>
            <w:shd w:fill="EEF1F5" w:val="clear"/>
            <w:tcMar>
              <w:top w:type="dxa" w:w="100"/>
              <w:left w:type="dxa" w:w="150"/>
              <w:bottom w:type="dxa" w:w="100"/>
              <w:right w:type="dxa" w:w="100"/>
            </w:tcMar>
          </w:tcPr>
          <w:p>
            <w:r>
              <w:rPr>
                <w:rFonts w:ascii="Calibri" w:cs="Calibri" w:eastAsia="Calibri" w:hAnsi="Calibri"/>
                <w:color w:val="232323"/>
                <w:sz w:val="20"/>
                <w:szCs w:val="20"/>
              </w:rPr>
              <w:t xml:space="preserve">A professional's detailed look at a property's condition — roof, foundation, systems, appliances — so you know what you're buying and can negotiate repairs if needed.</w:t>
            </w:r>
          </w:p>
        </w:tc>
      </w:tr>
      <w:tr>
        <w:tc>
          <w:tcPr>
            <w:tcW w:type="dxa" w:w="2400"/>
            <w:shd w:fill="FFFFFF" w:val="clear"/>
            <w:tcMar>
              <w:top w:type="dxa" w:w="100"/>
              <w:left w:type="dxa" w:w="150"/>
              <w:bottom w:type="dxa" w:w="100"/>
              <w:right w:type="dxa" w:w="100"/>
            </w:tcMar>
          </w:tcPr>
          <w:p>
            <w:r>
              <w:rPr>
                <w:rFonts w:ascii="Calibri" w:cs="Calibri" w:eastAsia="Calibri" w:hAnsi="Calibri"/>
                <w:b/>
                <w:bCs/>
                <w:color w:val="1F3A5F"/>
                <w:sz w:val="20"/>
                <w:szCs w:val="20"/>
              </w:rPr>
              <w:t xml:space="preserve">Appraisal</w:t>
            </w:r>
          </w:p>
        </w:tc>
        <w:tc>
          <w:tcPr>
            <w:tcW w:type="dxa" w:w="6600"/>
            <w:shd w:fill="FFFFFF" w:val="clear"/>
            <w:tcMar>
              <w:top w:type="dxa" w:w="100"/>
              <w:left w:type="dxa" w:w="150"/>
              <w:bottom w:type="dxa" w:w="100"/>
              <w:right w:type="dxa" w:w="100"/>
            </w:tcMar>
          </w:tcPr>
          <w:p>
            <w:r>
              <w:rPr>
                <w:rFonts w:ascii="Calibri" w:cs="Calibri" w:eastAsia="Calibri" w:hAnsi="Calibri"/>
                <w:color w:val="232323"/>
                <w:sz w:val="20"/>
                <w:szCs w:val="20"/>
              </w:rPr>
              <w:t xml:space="preserve">An independent estimate of the home's market value, ordered by the lender to confirm the loan amount is appropriate for the property.</w:t>
            </w:r>
          </w:p>
        </w:tc>
      </w:tr>
      <w:tr>
        <w:tc>
          <w:tcPr>
            <w:tcW w:type="dxa" w:w="2400"/>
            <w:shd w:fill="EEF1F5" w:val="clear"/>
            <w:tcMar>
              <w:top w:type="dxa" w:w="100"/>
              <w:left w:type="dxa" w:w="150"/>
              <w:bottom w:type="dxa" w:w="100"/>
              <w:right w:type="dxa" w:w="100"/>
            </w:tcMar>
          </w:tcPr>
          <w:p>
            <w:r>
              <w:rPr>
                <w:rFonts w:ascii="Calibri" w:cs="Calibri" w:eastAsia="Calibri" w:hAnsi="Calibri"/>
                <w:b/>
                <w:bCs/>
                <w:color w:val="1F3A5F"/>
                <w:sz w:val="20"/>
                <w:szCs w:val="20"/>
              </w:rPr>
              <w:t xml:space="preserve">Underwriting</w:t>
            </w:r>
          </w:p>
        </w:tc>
        <w:tc>
          <w:tcPr>
            <w:tcW w:type="dxa" w:w="6600"/>
            <w:shd w:fill="EEF1F5" w:val="clear"/>
            <w:tcMar>
              <w:top w:type="dxa" w:w="100"/>
              <w:left w:type="dxa" w:w="150"/>
              <w:bottom w:type="dxa" w:w="100"/>
              <w:right w:type="dxa" w:w="100"/>
            </w:tcMar>
          </w:tcPr>
          <w:p>
            <w:r>
              <w:rPr>
                <w:rFonts w:ascii="Calibri" w:cs="Calibri" w:eastAsia="Calibri" w:hAnsi="Calibri"/>
                <w:color w:val="232323"/>
                <w:sz w:val="20"/>
                <w:szCs w:val="20"/>
              </w:rPr>
              <w:t xml:space="preserve">The lender's final review of your finances and the property before fully approving your loan.</w:t>
            </w:r>
          </w:p>
        </w:tc>
      </w:tr>
      <w:tr>
        <w:tc>
          <w:tcPr>
            <w:tcW w:type="dxa" w:w="2400"/>
            <w:shd w:fill="FFFFFF" w:val="clear"/>
            <w:tcMar>
              <w:top w:type="dxa" w:w="100"/>
              <w:left w:type="dxa" w:w="150"/>
              <w:bottom w:type="dxa" w:w="100"/>
              <w:right w:type="dxa" w:w="100"/>
            </w:tcMar>
          </w:tcPr>
          <w:p>
            <w:r>
              <w:rPr>
                <w:rFonts w:ascii="Calibri" w:cs="Calibri" w:eastAsia="Calibri" w:hAnsi="Calibri"/>
                <w:b/>
                <w:bCs/>
                <w:color w:val="1F3A5F"/>
                <w:sz w:val="20"/>
                <w:szCs w:val="20"/>
              </w:rPr>
              <w:t xml:space="preserve">Closing Costs</w:t>
            </w:r>
          </w:p>
        </w:tc>
        <w:tc>
          <w:tcPr>
            <w:tcW w:type="dxa" w:w="6600"/>
            <w:shd w:fill="FFFFFF" w:val="clear"/>
            <w:tcMar>
              <w:top w:type="dxa" w:w="100"/>
              <w:left w:type="dxa" w:w="150"/>
              <w:bottom w:type="dxa" w:w="100"/>
              <w:right w:type="dxa" w:w="100"/>
            </w:tcMar>
          </w:tcPr>
          <w:p>
            <w:r>
              <w:rPr>
                <w:rFonts w:ascii="Calibri" w:cs="Calibri" w:eastAsia="Calibri" w:hAnsi="Calibri"/>
                <w:color w:val="232323"/>
                <w:sz w:val="20"/>
                <w:szCs w:val="20"/>
              </w:rPr>
              <w:t xml:space="preserve">Fees paid at closing beyond the down payment — typically 2–5% of the loan amount, covering things like loan origination, title insurance, and recording fees.</w:t>
            </w:r>
          </w:p>
        </w:tc>
      </w:tr>
      <w:tr>
        <w:tc>
          <w:tcPr>
            <w:tcW w:type="dxa" w:w="2400"/>
            <w:shd w:fill="EEF1F5" w:val="clear"/>
            <w:tcMar>
              <w:top w:type="dxa" w:w="100"/>
              <w:left w:type="dxa" w:w="150"/>
              <w:bottom w:type="dxa" w:w="100"/>
              <w:right w:type="dxa" w:w="100"/>
            </w:tcMar>
          </w:tcPr>
          <w:p>
            <w:r>
              <w:rPr>
                <w:rFonts w:ascii="Calibri" w:cs="Calibri" w:eastAsia="Calibri" w:hAnsi="Calibri"/>
                <w:b/>
                <w:bCs/>
                <w:color w:val="1F3A5F"/>
                <w:sz w:val="20"/>
                <w:szCs w:val="20"/>
              </w:rPr>
              <w:t xml:space="preserve">Title Insurance</w:t>
            </w:r>
          </w:p>
        </w:tc>
        <w:tc>
          <w:tcPr>
            <w:tcW w:type="dxa" w:w="6600"/>
            <w:shd w:fill="EEF1F5" w:val="clear"/>
            <w:tcMar>
              <w:top w:type="dxa" w:w="100"/>
              <w:left w:type="dxa" w:w="150"/>
              <w:bottom w:type="dxa" w:w="100"/>
              <w:right w:type="dxa" w:w="100"/>
            </w:tcMar>
          </w:tcPr>
          <w:p>
            <w:r>
              <w:rPr>
                <w:rFonts w:ascii="Calibri" w:cs="Calibri" w:eastAsia="Calibri" w:hAnsi="Calibri"/>
                <w:color w:val="232323"/>
                <w:sz w:val="20"/>
                <w:szCs w:val="20"/>
              </w:rPr>
              <w:t xml:space="preserve">A policy that protects you and your lender against disputes over property ownership or unresolved liens from before your purchase.</w:t>
            </w:r>
          </w:p>
        </w:tc>
      </w:tr>
      <w:tr>
        <w:tc>
          <w:tcPr>
            <w:tcW w:type="dxa" w:w="2400"/>
            <w:shd w:fill="FFFFFF" w:val="clear"/>
            <w:tcMar>
              <w:top w:type="dxa" w:w="100"/>
              <w:left w:type="dxa" w:w="150"/>
              <w:bottom w:type="dxa" w:w="100"/>
              <w:right w:type="dxa" w:w="100"/>
            </w:tcMar>
          </w:tcPr>
          <w:p>
            <w:r>
              <w:rPr>
                <w:rFonts w:ascii="Calibri" w:cs="Calibri" w:eastAsia="Calibri" w:hAnsi="Calibri"/>
                <w:b/>
                <w:bCs/>
                <w:color w:val="1F3A5F"/>
                <w:sz w:val="20"/>
                <w:szCs w:val="20"/>
              </w:rPr>
              <w:t xml:space="preserve">Clear to Close</w:t>
            </w:r>
          </w:p>
        </w:tc>
        <w:tc>
          <w:tcPr>
            <w:tcW w:type="dxa" w:w="6600"/>
            <w:shd w:fill="FFFFFF" w:val="clear"/>
            <w:tcMar>
              <w:top w:type="dxa" w:w="100"/>
              <w:left w:type="dxa" w:w="150"/>
              <w:bottom w:type="dxa" w:w="100"/>
              <w:right w:type="dxa" w:w="100"/>
            </w:tcMar>
          </w:tcPr>
          <w:p>
            <w:r>
              <w:rPr>
                <w:rFonts w:ascii="Calibri" w:cs="Calibri" w:eastAsia="Calibri" w:hAnsi="Calibri"/>
                <w:color w:val="232323"/>
                <w:sz w:val="20"/>
                <w:szCs w:val="20"/>
              </w:rPr>
              <w:t xml:space="preserve">The lender's confirmation that underwriting is complete and you're approved to move to the closing table.</w:t>
            </w:r>
          </w:p>
        </w:tc>
      </w:tr>
    </w:tbl>
    <w:p>
      <w:r>
        <w:br w:type="page"/>
      </w:r>
    </w:p>
    <w:p>
      <w:pPr>
        <w:pStyle w:val="Heading1"/>
        <w:spacing w:after="160" w:before="200"/>
      </w:pPr>
      <w:r>
        <w:rPr>
          <w:rFonts w:ascii="Georgia" w:cs="Georgia" w:eastAsia="Georgia" w:hAnsi="Georgia"/>
          <w:b/>
          <w:bCs/>
          <w:color w:val="1F3A5F"/>
          <w:sz w:val="36"/>
          <w:szCs w:val="36"/>
        </w:rPr>
        <w:t xml:space="preserve">Questions Along the Way?</w:t>
      </w:r>
    </w:p>
    <w:p>
      <w:pPr>
        <w:pBdr>
          <w:bottom w:val="single" w:color="B8892B" w:sz="12" w:space="1"/>
        </w:pBdr>
        <w:spacing w:after="240"/>
      </w:pPr>
    </w:p>
    <w:p>
      <w:pPr>
        <w:spacing w:after="160"/>
        <w:jc w:val="left"/>
      </w:pPr>
      <w:r>
        <w:rPr>
          <w:rFonts w:ascii="Calibri" w:cs="Calibri" w:eastAsia="Calibri" w:hAnsi="Calibri"/>
          <w:color w:val="232323"/>
          <w:sz w:val="22"/>
          <w:szCs w:val="22"/>
        </w:rPr>
        <w:t xml:space="preserve">This guide covers the general path, but your situation is specific to you. I'm here to walk through any of it in more detail, whenever you're ready.</w:t>
      </w:r>
    </w:p>
    <w:p>
      <w:pPr>
        <w:spacing w:after="160" w:before="30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shd w:fill="EEF1F5" w:val="clear"/>
            <w:tcMar>
              <w:top w:type="dxa" w:w="300"/>
              <w:left w:type="dxa" w:w="300"/>
              <w:bottom w:type="dxa" w:w="300"/>
              <w:right w:type="dxa" w:w="300"/>
            </w:tcMar>
          </w:tcPr>
          <w:p>
            <w:pPr>
              <w:spacing w:after="60"/>
              <w:jc w:val="center"/>
            </w:pPr>
            <w:r>
              <w:rPr>
                <w:rFonts w:ascii="Georgia" w:cs="Georgia" w:eastAsia="Georgia" w:hAnsi="Georgia"/>
                <w:b/>
                <w:bCs/>
                <w:color w:val="1F3A5F"/>
                <w:sz w:val="28"/>
                <w:szCs w:val="28"/>
              </w:rPr>
              <w:t xml:space="preserve">Lyndzi Brawley</w:t>
            </w:r>
          </w:p>
          <w:p>
            <w:pPr>
              <w:spacing w:after="120"/>
              <w:jc w:val="center"/>
            </w:pPr>
            <w:r>
              <w:rPr>
                <w:rFonts w:ascii="Calibri" w:cs="Calibri" w:eastAsia="Calibri" w:hAnsi="Calibri"/>
                <w:color w:val="232323"/>
                <w:sz w:val="22"/>
                <w:szCs w:val="22"/>
              </w:rPr>
              <w:t xml:space="preserve">Realtor — SEI Real Estate</w:t>
            </w:r>
          </w:p>
          <w:p>
            <w:pPr>
              <w:spacing w:after="40"/>
              <w:jc w:val="center"/>
            </w:pPr>
            <w:r>
              <w:rPr>
                <w:rFonts w:ascii="Calibri" w:cs="Calibri" w:eastAsia="Calibri" w:hAnsi="Calibri"/>
                <w:color w:val="232323"/>
                <w:sz w:val="21"/>
                <w:szCs w:val="21"/>
              </w:rPr>
              <w:t xml:space="preserve">928-432-2028</w:t>
            </w:r>
          </w:p>
          <w:p>
            <w:pPr>
              <w:jc w:val="center"/>
            </w:pPr>
            <w:r>
              <w:rPr>
                <w:rFonts w:ascii="Calibri" w:cs="Calibri" w:eastAsia="Calibri" w:hAnsi="Calibri"/>
                <w:color w:val="232323"/>
                <w:sz w:val="21"/>
                <w:szCs w:val="21"/>
              </w:rPr>
              <w:t xml:space="preserve">LyndziBrawley@gmail.com</w:t>
            </w:r>
          </w:p>
        </w:tc>
      </w:tr>
    </w:tbl>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3232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2026-08-18T02:50:44.840Z</dcterms:created>
  <dcterms:modified xsi:type="dcterms:W3CDTF">2026-08-18T02:50:44.865Z</dcterms:modified>
</cp:coreProperties>
</file>

<file path=docProps/custom.xml><?xml version="1.0" encoding="utf-8"?>
<Properties xmlns="http://schemas.openxmlformats.org/officeDocument/2006/custom-properties" xmlns:vt="http://schemas.openxmlformats.org/officeDocument/2006/docPropsVTypes"/>
</file>